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ПОЛОЖЕННЯ ПРО ТРЕТІЙ ВСЕУКРАЇНСЬКИЙ КОНКУРС НАУКОВИХ СТУДЕНТСЬКИХ РОБІТ НА ТЕМУ РЕВОЛЮЦІЇ ГІДНОСТІ</w:t>
      </w:r>
    </w:p>
    <w:p w:rsidR="00000000" w:rsidDel="00000000" w:rsidP="00000000" w:rsidRDefault="00000000" w:rsidRPr="00000000" w14:paraId="00000005">
      <w:pPr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ЗДОБУТТЯ ВІДЗНАКИ ІМЕНІ СЕРГІЯ КЕМСЬКОГО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І. Загальні положення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Всеукраїнський конкурс наукових студентських робіт (далі – Конкурс) на честь Сергія Кемського, Героя України, Героя Небесної Сотні – історика, політолога, журналіста, громадського активіста. Започаткований і проводиться Національним меморіальним комплексом Героїв Небесної Сотні – Музеєм Революції Гідності та Громадською організацією «Родина Героїв Небесної Сотні» в межах проекту «Відзнака імені Сергія Кемського».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Мета Конкурсу: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активізувати науковий інтерес до подій Революції Гідності;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сприяти критичному переосмисленню новітньої історії України;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популяризувати уроки, досвід та цінності Майдану серед молодіжних аудиторій, стимулювати і підтримувати талановиту молодь;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залучати її до вивчення та дослідження Революції Гідності.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Завданнями Конкурсу є: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залучити до конкурсу студентів різного фаху з усіх регіонів України;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збільшити кількість спеціалізованих наукових досліджень, присвячених Революції Гідності;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 результатами отриманих матеріалів видати тематичний збірник наукових праць для введення їх у науковий обіг та для застосування у експозиційних і освітніх програмах Національного меморіального комплексу Героїв Небесної Сотні – Музею Революції Гідності.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Приймаються роботи написані українською мовою.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Організація та проведення Конкурсу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Загальне керівництво Конкурсом здійснює Організаційний комітет Конкурсу, персональний склад якого затверджується наказом генерального директора Національного меморіального комплексу Героїв Небесної Сотні – Музею Революції Гідності.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Склад Організаційного комітету може формуватись із працівників Національного меморіального комплексу Героїв Небесної Сотні – Музею Революції Гідності, а також представників органів державної влади, місцевого самоврядування, громадських та благодійних організацій, наукових інституцій, вищих закладів освіти, засобів масової інформації тощо – за згодою. 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Оцінювання робіт та визначення переможців Конкурсу здійснює Журі. До складу Журі можуть входити наукові, науково-педагогічні працівники, представники благодійних, громадських організацій та інші особи, які мають відповідний фаховий рівень.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Конкурс проводиться у два етапи.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Перший етап – подача заявок. Охочі взяти участь у Конкурсі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заповнюють</w:t>
      </w:r>
      <w:hyperlink r:id="rId7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електронну форму із заявкою та анотацією</w:t>
        </w:r>
      </w:hyperlink>
      <w:r w:rsidDel="00000000" w:rsidR="00000000" w:rsidRPr="00000000">
        <w:rPr>
          <w:sz w:val="24"/>
          <w:szCs w:val="24"/>
          <w:rtl w:val="0"/>
        </w:rPr>
        <w:t xml:space="preserve"> конкурсної роботи (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https://cutt.ly/AgCnGac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з 15 листопада 2020 року по 3 січня 2021 року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Журі розглядає подані заявки з анотаціями; за результатами оцінювання Журі Оргкомітет надсилає заявникам, які пройшли відбір, запрошення для участі у другому етапі до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25 січня 2021 року.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Другий етап – подання наукових робіт на розгляд Журі. Учасники, які пройшли перший етап, надсилають </w:t>
      </w:r>
      <w:r w:rsidDel="00000000" w:rsidR="00000000" w:rsidRPr="00000000">
        <w:rPr>
          <w:b w:val="1"/>
          <w:sz w:val="24"/>
          <w:szCs w:val="24"/>
          <w:rtl w:val="0"/>
        </w:rPr>
        <w:t xml:space="preserve">конкурсну роботу </w:t>
      </w:r>
      <w:r w:rsidDel="00000000" w:rsidR="00000000" w:rsidRPr="00000000">
        <w:rPr>
          <w:sz w:val="24"/>
          <w:szCs w:val="24"/>
          <w:rtl w:val="0"/>
        </w:rPr>
        <w:t xml:space="preserve">(див. додаток 1) на електронну адресу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konkurs.maidanmuseum@gmail.com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 </w:t>
      </w:r>
      <w:r w:rsidDel="00000000" w:rsidR="00000000" w:rsidRPr="00000000">
        <w:rPr>
          <w:b w:val="1"/>
          <w:sz w:val="24"/>
          <w:szCs w:val="24"/>
          <w:rtl w:val="0"/>
        </w:rPr>
        <w:t xml:space="preserve">31 березня 2021 року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включно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160" w:line="331.2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331.2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З 01 по 25 квітня 2021 року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журі оцінюють отримані роботи та визначають переможців. </w:t>
      </w:r>
      <w:r w:rsidDel="00000000" w:rsidR="00000000" w:rsidRPr="00000000">
        <w:rPr>
          <w:b w:val="1"/>
          <w:sz w:val="24"/>
          <w:szCs w:val="24"/>
          <w:rtl w:val="0"/>
        </w:rPr>
        <w:t xml:space="preserve">У період з 26 квітня по 16 травня 2021 року</w:t>
      </w:r>
      <w:r w:rsidDel="00000000" w:rsidR="00000000" w:rsidRPr="00000000">
        <w:rPr>
          <w:sz w:val="24"/>
          <w:szCs w:val="24"/>
          <w:rtl w:val="0"/>
        </w:rPr>
        <w:t xml:space="preserve"> – оголошення переможців Конкурсу. Для вручення нагород переможців буде запрошено до Києва, де відбудеться публічна презентацій їх робіт і нагородження.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Результати обох етапів Конкурсу повідомляються учасникам листом на електронну адресу, зазначену під час реєстрації, загальний підсумок розміщується на сайті </w:t>
      </w:r>
      <w:r w:rsidDel="00000000" w:rsidR="00000000" w:rsidRPr="00000000">
        <w:rPr>
          <w:b w:val="1"/>
          <w:sz w:val="24"/>
          <w:szCs w:val="24"/>
          <w:rtl w:val="0"/>
        </w:rPr>
        <w:t xml:space="preserve">www.maidanmuseum.org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Виплата винагороди здійснюється з благодійних внесків.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III. Вимоги до робіт і критерії їх оцінювання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На конкурс подаються наукові дослідження, пов'язані з темою Конкурсу: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соціальний, політичний, політологічний, ідеологічний, культурологічний, мистецтвознавчий, етнологічний, музеологічний, релігійний, філософський аспекти Революції Гідності;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соціологія та історія Революції Гідності;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Революція Гідності у контексті міжнародної політики;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регіональні особливості протестів Революції Гідності;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дослідження ініціатив і громадського досвіду Майдану;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повсякденне життя та побут Майдану;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комунікаційна, агітаційна й інформаційна політика протестного руху;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мистецтво і творчість Майдану;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Революція Гідності в контексті протестних рухів світу;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дослідження персоналій Героїв Небесної Сотні, поранених, активістів і волонтерів Майдану;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політика пам’яті і комеморативні практики Майдану;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інше.</w:t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2. Наукові роботи мають бути оформлені відповідно до такої структури: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назва;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вступ із зазначенням актуальності, мети, завдання та структури дослідження, аналізом історіографії, визначенням методики та очікуваних результатів дослідження;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основну частину з обґрунтуванням отриманих наукових результатів;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висновки;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список використаних джерел і літератури.</w:t>
      </w:r>
    </w:p>
    <w:p w:rsidR="00000000" w:rsidDel="00000000" w:rsidP="00000000" w:rsidRDefault="00000000" w:rsidRPr="00000000" w14:paraId="00000033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Роботи мають бути підготовлені учасниками Конкурсу самостійно, бути новими, оригінальними, не мати нагород інших конкурсів. </w:t>
      </w:r>
    </w:p>
    <w:p w:rsidR="00000000" w:rsidDel="00000000" w:rsidP="00000000" w:rsidRDefault="00000000" w:rsidRPr="00000000" w14:paraId="00000034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Роботи не повинні містити плагіату, бути виконані з дотриманням норм академічної доброчесності й етики. Автор несе відповідальність за правильне цитування і дотримання авторських прав використовуваних матеріалів. У разі недотримання цієї умови, за рішенням журі, робота не розглядатиметься.</w:t>
      </w:r>
    </w:p>
    <w:p w:rsidR="00000000" w:rsidDel="00000000" w:rsidP="00000000" w:rsidRDefault="00000000" w:rsidRPr="00000000" w14:paraId="00000035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5. Обсяг роботи не повинен перевищувати 30 сторінок формату А4 (Times New Roman, 14; міжрядковий інтервал – 1,5; формат − MS Word). Малюнки, таблиці та інші графічні зображення оформлюються окремим додатком. Зразок оформлення подано у додатку 1.</w:t>
      </w:r>
    </w:p>
    <w:p w:rsidR="00000000" w:rsidDel="00000000" w:rsidP="00000000" w:rsidRDefault="00000000" w:rsidRPr="00000000" w14:paraId="00000036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При оцінюванні робіт враховується: актуальність, відповідність назви роботі її суті, творчий підхід, наукова новизна і обґрунтованість дослідження, сучасні методологічні підходи до ведення наукового дослідження.</w:t>
      </w:r>
    </w:p>
    <w:p w:rsidR="00000000" w:rsidDel="00000000" w:rsidP="00000000" w:rsidRDefault="00000000" w:rsidRPr="00000000" w14:paraId="00000037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Роботи, що не відповідають тематиці Конкурсу, оформлені з порушенням конкурсних вимог або надіслані після встановлених термінів, до участі у Конкурсі не допускаються.</w:t>
      </w:r>
    </w:p>
    <w:p w:rsidR="00000000" w:rsidDel="00000000" w:rsidP="00000000" w:rsidRDefault="00000000" w:rsidRPr="00000000" w14:paraId="00000038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При поданні роботи учасники погоджуються на обробку відповідної інформації, в тому числі персональних даних, визнають результати Конкурсу без додаткових роз’яснень. Надіслані на Конкурс роботи зберігаються в архіві Національного музею Революції Гідності та, відповідно до оцінок журі, можуть бути опубліковані у виданнях Національного музею Революції Гідності та на сайті </w:t>
      </w:r>
      <w:r w:rsidDel="00000000" w:rsidR="00000000" w:rsidRPr="00000000">
        <w:rPr>
          <w:b w:val="1"/>
          <w:sz w:val="24"/>
          <w:szCs w:val="24"/>
          <w:rtl w:val="0"/>
        </w:rPr>
        <w:t xml:space="preserve">maidanmuseum.org</w:t>
      </w:r>
      <w:r w:rsidDel="00000000" w:rsidR="00000000" w:rsidRPr="00000000">
        <w:rPr>
          <w:sz w:val="24"/>
          <w:szCs w:val="24"/>
          <w:rtl w:val="0"/>
        </w:rPr>
        <w:t xml:space="preserve">, про що авторів буде повідомлено окремо. Рецензії на конкурсні роботи не видаються.</w:t>
      </w:r>
    </w:p>
    <w:p w:rsidR="00000000" w:rsidDel="00000000" w:rsidP="00000000" w:rsidRDefault="00000000" w:rsidRPr="00000000" w14:paraId="00000039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Учасники Конкурсу</w:t>
      </w:r>
    </w:p>
    <w:p w:rsidR="00000000" w:rsidDel="00000000" w:rsidP="00000000" w:rsidRDefault="00000000" w:rsidRPr="00000000" w14:paraId="0000003B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У Конкурсі можуть брати участь студенти (курсанти), які здобувають освіту за освітнім ступенем бакалавра (2–4 курс), магістри й аспіранти (далі – учасники).</w:t>
      </w:r>
    </w:p>
    <w:p w:rsidR="00000000" w:rsidDel="00000000" w:rsidP="00000000" w:rsidRDefault="00000000" w:rsidRPr="00000000" w14:paraId="0000003C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Учасники беруть участь у Конкурсі індивідуально або у складі авторського колективу, але не більше двох осіб.</w:t>
      </w:r>
    </w:p>
    <w:p w:rsidR="00000000" w:rsidDel="00000000" w:rsidP="00000000" w:rsidRDefault="00000000" w:rsidRPr="00000000" w14:paraId="0000003D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Учасники попередніх конкурсів Відзнаки імені Сергія Кемського можуть повторно брати участь у конкурсі, але не можуть подавати роботи з тією ж темою, що попередні рази.</w:t>
      </w:r>
    </w:p>
    <w:p w:rsidR="00000000" w:rsidDel="00000000" w:rsidP="00000000" w:rsidRDefault="00000000" w:rsidRPr="00000000" w14:paraId="0000003E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Учасники Конкурсу є відповідальними за достовірність інформації, поданої на розгляд Журі, та гарантують своє авторство.</w:t>
      </w:r>
    </w:p>
    <w:p w:rsidR="00000000" w:rsidDel="00000000" w:rsidP="00000000" w:rsidRDefault="00000000" w:rsidRPr="00000000" w14:paraId="0000003F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Учасники погоджуються, що організатор має право у подальшому використовувати надіслані на Конкурс роботи у своїх статутних цілях.</w:t>
      </w:r>
    </w:p>
    <w:p w:rsidR="00000000" w:rsidDel="00000000" w:rsidP="00000000" w:rsidRDefault="00000000" w:rsidRPr="00000000" w14:paraId="00000040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Всі </w:t>
      </w:r>
      <w:r w:rsidDel="00000000" w:rsidR="00000000" w:rsidRPr="00000000">
        <w:rPr>
          <w:sz w:val="24"/>
          <w:szCs w:val="24"/>
          <w:rtl w:val="0"/>
        </w:rPr>
        <w:t xml:space="preserve">виключні майнові права інтелектуальної власності</w:t>
      </w:r>
      <w:r w:rsidDel="00000000" w:rsidR="00000000" w:rsidRPr="00000000">
        <w:rPr>
          <w:sz w:val="24"/>
          <w:szCs w:val="24"/>
          <w:rtl w:val="0"/>
        </w:rPr>
        <w:t xml:space="preserve"> на роботи, подані учасниками на Конкурс, належать Національному музею Революції Гідності.</w:t>
      </w:r>
    </w:p>
    <w:p w:rsidR="00000000" w:rsidDel="00000000" w:rsidP="00000000" w:rsidRDefault="00000000" w:rsidRPr="00000000" w14:paraId="00000041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 Порядок визначення переможців</w:t>
      </w:r>
    </w:p>
    <w:p w:rsidR="00000000" w:rsidDel="00000000" w:rsidP="00000000" w:rsidRDefault="00000000" w:rsidRPr="00000000" w14:paraId="00000043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Переможці Конкурсу визначаються шляхом проходження двох турів Конкурсу.</w:t>
      </w:r>
    </w:p>
    <w:p w:rsidR="00000000" w:rsidDel="00000000" w:rsidP="00000000" w:rsidRDefault="00000000" w:rsidRPr="00000000" w14:paraId="00000044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У першому турі оцінювання надісланих тем і анотацій відбувається шляхом голосування усіх членів журі по кожній роботі. Найвища сума балів – 10.</w:t>
      </w:r>
    </w:p>
    <w:p w:rsidR="00000000" w:rsidDel="00000000" w:rsidP="00000000" w:rsidRDefault="00000000" w:rsidRPr="00000000" w14:paraId="00000045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Учасники, які здобули середній бал 6 і вище, проходять до другого туру Конкурсу.</w:t>
      </w:r>
    </w:p>
    <w:p w:rsidR="00000000" w:rsidDel="00000000" w:rsidP="00000000" w:rsidRDefault="00000000" w:rsidRPr="00000000" w14:paraId="00000046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Переможці другого туру конкурсу визначаються шляхом голосування Журі, де оцінювання проводиться у відповідності до вимог та критеріїв, зазначених у ч. ІІІ цього Положення. Найвища сума балів – 100. Кожну роботу оцінює не менше трьох членів Журі, підсумкова оцінка визначається середнім балом від оцінок Журі.</w:t>
      </w:r>
    </w:p>
    <w:p w:rsidR="00000000" w:rsidDel="00000000" w:rsidP="00000000" w:rsidRDefault="00000000" w:rsidRPr="00000000" w14:paraId="00000047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Перше місце присуджується учаснику, який набрав найбільшу кількість балів. Двом наступним за кількістю балів учасникам присуджуються друге та третє місця відповідно.</w:t>
      </w:r>
    </w:p>
    <w:p w:rsidR="00000000" w:rsidDel="00000000" w:rsidP="00000000" w:rsidRDefault="00000000" w:rsidRPr="00000000" w14:paraId="00000048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Визначається одне перше, одне друге і одне третє місця.</w:t>
      </w:r>
    </w:p>
    <w:p w:rsidR="00000000" w:rsidDel="00000000" w:rsidP="00000000" w:rsidRDefault="00000000" w:rsidRPr="00000000" w14:paraId="00000049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Переможці Конкурсу нагороджуються грошовими преміями у розмірі: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Перше місце – 15 000 гривень;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Друге місце – 7 000 гривень;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Третє місце – 4 000 гривень.</w:t>
      </w:r>
    </w:p>
    <w:p w:rsidR="00000000" w:rsidDel="00000000" w:rsidP="00000000" w:rsidRDefault="00000000" w:rsidRPr="00000000" w14:paraId="0000004D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Переможці Конкурсу нагороджуються дипломами.</w:t>
      </w:r>
    </w:p>
    <w:p w:rsidR="00000000" w:rsidDel="00000000" w:rsidP="00000000" w:rsidRDefault="00000000" w:rsidRPr="00000000" w14:paraId="0000004E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Учасникам другого етапу видається сертифікат про участь.</w:t>
      </w:r>
    </w:p>
    <w:p w:rsidR="00000000" w:rsidDel="00000000" w:rsidP="00000000" w:rsidRDefault="00000000" w:rsidRPr="00000000" w14:paraId="0000004F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Витрати на організацію та проведення Конкурсу здійснюються за рахунок коштів із джерел, не заборонених чинним законодавством України.</w:t>
      </w:r>
    </w:p>
    <w:p w:rsidR="00000000" w:rsidDel="00000000" w:rsidP="00000000" w:rsidRDefault="00000000" w:rsidRPr="00000000" w14:paraId="00000050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40" w:lineRule="auto"/>
        <w:jc w:val="righ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5C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ЗРАЗОК ОФОРМЛЕННЯ КОНКУРСНОЇ РОБОТИ</w:t>
      </w:r>
    </w:p>
    <w:p w:rsidR="00000000" w:rsidDel="00000000" w:rsidP="00000000" w:rsidRDefault="00000000" w:rsidRPr="00000000" w14:paraId="0000005D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Оформлення титульної сторінки.</w:t>
      </w:r>
    </w:p>
    <w:p w:rsidR="00000000" w:rsidDel="00000000" w:rsidP="00000000" w:rsidRDefault="00000000" w:rsidRPr="00000000" w14:paraId="0000005E">
      <w:pPr>
        <w:spacing w:before="240" w:lineRule="auto"/>
        <w:ind w:left="850.3937007874017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Національний музей Революції Гідності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40" w:lineRule="auto"/>
        <w:ind w:left="850.393700787401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Всеукраїнський конкурс наукових студентських робіт на тему Революції Гідності</w:t>
      </w:r>
    </w:p>
    <w:p w:rsidR="00000000" w:rsidDel="00000000" w:rsidP="00000000" w:rsidRDefault="00000000" w:rsidRPr="00000000" w14:paraId="00000060">
      <w:pPr>
        <w:spacing w:before="240" w:lineRule="auto"/>
        <w:ind w:left="850.393700787401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Наукова робота</w:t>
      </w:r>
    </w:p>
    <w:p w:rsidR="00000000" w:rsidDel="00000000" w:rsidP="00000000" w:rsidRDefault="00000000" w:rsidRPr="00000000" w14:paraId="00000061">
      <w:pPr>
        <w:spacing w:before="240" w:lineRule="auto"/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«ТЕМА ДОСЛІДЖЕННЯ»</w:t>
      </w:r>
    </w:p>
    <w:p w:rsidR="00000000" w:rsidDel="00000000" w:rsidP="00000000" w:rsidRDefault="00000000" w:rsidRPr="00000000" w14:paraId="00000062">
      <w:pPr>
        <w:spacing w:before="240" w:lineRule="auto"/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Виконав (ла):</w:t>
      </w:r>
    </w:p>
    <w:p w:rsidR="00000000" w:rsidDel="00000000" w:rsidP="00000000" w:rsidRDefault="00000000" w:rsidRPr="00000000" w14:paraId="00000063">
      <w:pPr>
        <w:spacing w:before="240" w:lineRule="auto"/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студент(ка) / аспірант (ка) ____ курсу,</w:t>
      </w:r>
    </w:p>
    <w:p w:rsidR="00000000" w:rsidDel="00000000" w:rsidP="00000000" w:rsidRDefault="00000000" w:rsidRPr="00000000" w14:paraId="00000064">
      <w:pPr>
        <w:spacing w:before="240" w:lineRule="auto"/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__________________________факультету</w:t>
      </w:r>
    </w:p>
    <w:p w:rsidR="00000000" w:rsidDel="00000000" w:rsidP="00000000" w:rsidRDefault="00000000" w:rsidRPr="00000000" w14:paraId="00000065">
      <w:pPr>
        <w:spacing w:before="240" w:lineRule="auto"/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(Назва ЗВО) ________________________________________</w:t>
      </w:r>
    </w:p>
    <w:p w:rsidR="00000000" w:rsidDel="00000000" w:rsidP="00000000" w:rsidRDefault="00000000" w:rsidRPr="00000000" w14:paraId="00000066">
      <w:pPr>
        <w:spacing w:before="240" w:lineRule="auto"/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(Прізвище, ім’я, по батькові)__________________________</w:t>
      </w:r>
    </w:p>
    <w:p w:rsidR="00000000" w:rsidDel="00000000" w:rsidP="00000000" w:rsidRDefault="00000000" w:rsidRPr="00000000" w14:paraId="00000067">
      <w:pPr>
        <w:spacing w:before="240" w:lineRule="auto"/>
        <w:ind w:left="850.3937007874017" w:firstLine="0"/>
        <w:jc w:val="both"/>
        <w:rPr/>
      </w:pPr>
      <w:r w:rsidDel="00000000" w:rsidR="00000000" w:rsidRPr="00000000">
        <w:rPr>
          <w:rtl w:val="0"/>
        </w:rPr>
        <w:t xml:space="preserve">моб. тел. ______________________</w:t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Структура роботи.</w:t>
      </w:r>
    </w:p>
    <w:p w:rsidR="00000000" w:rsidDel="00000000" w:rsidP="00000000" w:rsidRDefault="00000000" w:rsidRPr="00000000" w14:paraId="0000006A">
      <w:pPr>
        <w:spacing w:before="240" w:lineRule="auto"/>
        <w:ind w:left="850.393700787401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ЗМІСТ</w:t>
      </w:r>
    </w:p>
    <w:p w:rsidR="00000000" w:rsidDel="00000000" w:rsidP="00000000" w:rsidRDefault="00000000" w:rsidRPr="00000000" w14:paraId="0000006B">
      <w:pPr>
        <w:spacing w:before="240" w:lineRule="auto"/>
        <w:ind w:left="850.393700787401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ПЕРЕЛІК СКОРОЧЕНЬ </w:t>
      </w:r>
      <w:r w:rsidDel="00000000" w:rsidR="00000000" w:rsidRPr="00000000">
        <w:rPr>
          <w:sz w:val="24"/>
          <w:szCs w:val="24"/>
          <w:rtl w:val="0"/>
        </w:rPr>
        <w:t xml:space="preserve">(за наявності)</w:t>
      </w:r>
    </w:p>
    <w:p w:rsidR="00000000" w:rsidDel="00000000" w:rsidP="00000000" w:rsidRDefault="00000000" w:rsidRPr="00000000" w14:paraId="0000006C">
      <w:pPr>
        <w:spacing w:before="240" w:lineRule="auto"/>
        <w:ind w:left="850.393700787401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ВСТУП</w:t>
      </w:r>
    </w:p>
    <w:p w:rsidR="00000000" w:rsidDel="00000000" w:rsidP="00000000" w:rsidRDefault="00000000" w:rsidRPr="00000000" w14:paraId="0000006D">
      <w:pPr>
        <w:spacing w:before="240" w:lineRule="auto"/>
        <w:ind w:left="850.393700787401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ОСНОВНА ЧАСТИНА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40" w:lineRule="auto"/>
        <w:ind w:left="850.393700787401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ВИСНОВКИ</w:t>
      </w:r>
    </w:p>
    <w:p w:rsidR="00000000" w:rsidDel="00000000" w:rsidP="00000000" w:rsidRDefault="00000000" w:rsidRPr="00000000" w14:paraId="0000006F">
      <w:pPr>
        <w:spacing w:before="240" w:lineRule="auto"/>
        <w:ind w:left="850.3937007874017" w:firstLine="0"/>
        <w:jc w:val="both"/>
        <w:rPr>
          <w:b w:val="1"/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СПИСОК ВИКОРИСТАНИХ ДЖЕРЕЛ 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ЛІТЕРАТУРИ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40" w:lineRule="auto"/>
        <w:ind w:left="850.3937007874017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ДОДАТКИ </w:t>
      </w:r>
      <w:r w:rsidDel="00000000" w:rsidR="00000000" w:rsidRPr="00000000">
        <w:rPr>
          <w:sz w:val="24"/>
          <w:szCs w:val="24"/>
          <w:rtl w:val="0"/>
        </w:rPr>
        <w:t xml:space="preserve">(за наявності)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33333"/>
          <w:rtl w:val="0"/>
        </w:rPr>
        <w:t xml:space="preserve">Посилання на джерела та літературу – посторінкові. Оформлення посторінкових посилань – згідно з ДСТУ 8302:2015. «Інформація та документація. Бібліографічне посилання. Загальні положення та правила складання» (зі змінами і доповненнями 2017 р.).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333333"/>
          <w:rtl w:val="0"/>
        </w:rPr>
        <w:t xml:space="preserve">Оформлення прикінцевого списку використаних джерел і літератури – згідно з ДСТУ ГОСТ 7.1:2006.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складання».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utt.ly/AgCnGac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forms/d/e/1FAIpQLSf2lPIZDASNylacQ9auXZqP0utMA180XvuK8Nwz1phRczgxrA/viewform" TargetMode="External"/><Relationship Id="rId8" Type="http://schemas.openxmlformats.org/officeDocument/2006/relationships/hyperlink" Target="https://docs.google.com/forms/d/e/1FAIpQLSf2lPIZDASNylacQ9auXZqP0utMA180XvuK8Nwz1phRczgxr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